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524F" w14:textId="77777777" w:rsidR="000774C6" w:rsidRDefault="000774C6" w:rsidP="008023EE">
      <w:pPr>
        <w:jc w:val="center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&lt;SFSP Sponsor Name and Number&gt;"/>
            </w:textInput>
          </w:ffData>
        </w:fldChar>
      </w:r>
      <w:bookmarkStart w:id="0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&lt;SFSP Sponsor Name and Number&gt;</w:t>
      </w:r>
      <w:r>
        <w:rPr>
          <w:b/>
        </w:rPr>
        <w:fldChar w:fldCharType="end"/>
      </w:r>
      <w:bookmarkEnd w:id="0"/>
    </w:p>
    <w:p w14:paraId="6D9B9296" w14:textId="77777777" w:rsidR="008023EE" w:rsidRDefault="008023EE" w:rsidP="008023EE">
      <w:pPr>
        <w:jc w:val="center"/>
      </w:pPr>
      <w:r w:rsidRPr="00CC6755">
        <w:rPr>
          <w:b/>
        </w:rPr>
        <w:t>PROCUREMENT PLAN</w:t>
      </w:r>
      <w:r w:rsidR="00EB0B36">
        <w:rPr>
          <w:b/>
        </w:rPr>
        <w:t xml:space="preserve"> for Private Non-Profit SFSP Sponsors</w:t>
      </w:r>
    </w:p>
    <w:p w14:paraId="0453884C" w14:textId="77777777" w:rsidR="00CC6755" w:rsidRPr="00CC6755" w:rsidRDefault="00CC6755" w:rsidP="00CC6755">
      <w:pPr>
        <w:rPr>
          <w:b/>
        </w:rPr>
      </w:pPr>
      <w:r w:rsidRPr="00CC6755">
        <w:rPr>
          <w:b/>
        </w:rPr>
        <w:t xml:space="preserve">Complete this Procurement Plan and submit to your Child Nutrition and Wellness Consultant during program renewal.  </w:t>
      </w:r>
    </w:p>
    <w:p w14:paraId="13A06C35" w14:textId="77777777" w:rsidR="008023EE" w:rsidRDefault="00CC6755" w:rsidP="00CC6755">
      <w:r>
        <w:t xml:space="preserve">(If formal purchasing is used for your SFSP, please </w:t>
      </w:r>
      <w:r w:rsidR="00EE211B">
        <w:t>contact Child Nutrition &amp; Wellness</w:t>
      </w:r>
      <w:r>
        <w:t>.)</w:t>
      </w:r>
    </w:p>
    <w:p w14:paraId="0C63E142" w14:textId="77777777" w:rsidR="008023EE" w:rsidRDefault="008023EE" w:rsidP="008023EE">
      <w:r>
        <w:t>This procurement plan will be implemented on</w:t>
      </w:r>
      <w:r w:rsidR="007A4A49">
        <w:t xml:space="preserve"> </w:t>
      </w:r>
      <w:r w:rsidR="007A4A49"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bookmarkStart w:id="1" w:name="Text4"/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&lt;Date&gt;</w:t>
      </w:r>
      <w:r w:rsidR="007A4A49">
        <w:fldChar w:fldCharType="end"/>
      </w:r>
      <w:bookmarkEnd w:id="1"/>
      <w:r>
        <w:t xml:space="preserve"> and will be in effect from</w:t>
      </w:r>
      <w:r w:rsidR="007A4A49">
        <w:t xml:space="preserve"> </w:t>
      </w:r>
      <w:r w:rsidR="007A4A49"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&lt;Date&gt;</w:t>
      </w:r>
      <w:r w:rsidR="007A4A49">
        <w:fldChar w:fldCharType="end"/>
      </w:r>
      <w:r w:rsidRPr="00C011B6">
        <w:rPr>
          <w:color w:val="FF0000"/>
        </w:rPr>
        <w:t xml:space="preserve"> </w:t>
      </w:r>
      <w:r>
        <w:t>through</w:t>
      </w:r>
      <w:r w:rsidR="007A4A49">
        <w:t xml:space="preserve"> </w:t>
      </w:r>
      <w:r w:rsidR="007A4A49"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&lt;Date&gt;</w:t>
      </w:r>
      <w:r w:rsidR="007A4A49">
        <w:fldChar w:fldCharType="end"/>
      </w:r>
      <w:r w:rsidR="000B184B">
        <w:t>.</w:t>
      </w:r>
      <w:r w:rsidR="007A4A49">
        <w:t xml:space="preserve">  </w:t>
      </w:r>
      <w:r>
        <w:t xml:space="preserve">All procurements must adhere to free and open competition.  Source documentation must be available to determine open competition as well as the reasonableness, allowability, and allocation of costs.  </w:t>
      </w:r>
    </w:p>
    <w:p w14:paraId="6EC556B3" w14:textId="77777777" w:rsidR="008023EE" w:rsidRPr="002E3459" w:rsidRDefault="008023EE" w:rsidP="008023EE">
      <w:pPr>
        <w:jc w:val="center"/>
        <w:rPr>
          <w:b/>
        </w:rPr>
      </w:pPr>
      <w:r w:rsidRPr="002E3459">
        <w:rPr>
          <w:b/>
        </w:rPr>
        <w:t>Procurement Authority for</w:t>
      </w:r>
      <w:r w:rsidR="007A4A49">
        <w:rPr>
          <w:b/>
        </w:rPr>
        <w:t xml:space="preserve"> </w:t>
      </w:r>
      <w:r w:rsidR="007A4A49">
        <w:rPr>
          <w:b/>
        </w:rPr>
        <w:fldChar w:fldCharType="begin">
          <w:ffData>
            <w:name w:val="Text5"/>
            <w:enabled/>
            <w:calcOnExit w:val="0"/>
            <w:textInput>
              <w:default w:val="&lt;insert Sponsor Number and Name&gt;"/>
            </w:textInput>
          </w:ffData>
        </w:fldChar>
      </w:r>
      <w:bookmarkStart w:id="2" w:name="Text5"/>
      <w:r w:rsidR="007A4A49">
        <w:rPr>
          <w:b/>
        </w:rPr>
        <w:instrText xml:space="preserve"> FORMTEXT </w:instrText>
      </w:r>
      <w:r w:rsidR="007A4A49">
        <w:rPr>
          <w:b/>
        </w:rPr>
      </w:r>
      <w:r w:rsidR="007A4A49">
        <w:rPr>
          <w:b/>
        </w:rPr>
        <w:fldChar w:fldCharType="separate"/>
      </w:r>
      <w:r w:rsidR="007A4A49">
        <w:rPr>
          <w:b/>
          <w:noProof/>
        </w:rPr>
        <w:t>&lt;insert Sponsor Number and Name&gt;</w:t>
      </w:r>
      <w:r w:rsidR="007A4A49">
        <w:rPr>
          <w:b/>
        </w:rPr>
        <w:fldChar w:fldCharType="end"/>
      </w:r>
      <w:bookmarkEnd w:id="2"/>
      <w:r w:rsidRPr="002E345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curement Authority for Sponsor"/>
      </w:tblPr>
      <w:tblGrid>
        <w:gridCol w:w="2337"/>
        <w:gridCol w:w="1798"/>
        <w:gridCol w:w="3330"/>
        <w:gridCol w:w="1885"/>
      </w:tblGrid>
      <w:tr w:rsidR="008023EE" w14:paraId="2AE42B97" w14:textId="77777777" w:rsidTr="00D870ED">
        <w:trPr>
          <w:tblHeader/>
        </w:trPr>
        <w:tc>
          <w:tcPr>
            <w:tcW w:w="2337" w:type="dxa"/>
          </w:tcPr>
          <w:p w14:paraId="239BF3EF" w14:textId="77777777" w:rsidR="008023EE" w:rsidRPr="002E3459" w:rsidRDefault="008023EE" w:rsidP="00D43EAF">
            <w:pPr>
              <w:rPr>
                <w:b/>
              </w:rPr>
            </w:pPr>
            <w:r w:rsidRPr="002E3459">
              <w:rPr>
                <w:b/>
              </w:rPr>
              <w:t>Name</w:t>
            </w:r>
          </w:p>
        </w:tc>
        <w:tc>
          <w:tcPr>
            <w:tcW w:w="1798" w:type="dxa"/>
          </w:tcPr>
          <w:p w14:paraId="30E9E8AC" w14:textId="77777777" w:rsidR="008023EE" w:rsidRPr="002E3459" w:rsidRDefault="008023EE" w:rsidP="00D43EAF">
            <w:pPr>
              <w:rPr>
                <w:b/>
              </w:rPr>
            </w:pPr>
            <w:r w:rsidRPr="002E3459">
              <w:rPr>
                <w:b/>
              </w:rPr>
              <w:t>Title</w:t>
            </w:r>
          </w:p>
        </w:tc>
        <w:tc>
          <w:tcPr>
            <w:tcW w:w="3330" w:type="dxa"/>
          </w:tcPr>
          <w:p w14:paraId="188FE7F4" w14:textId="77777777" w:rsidR="008023EE" w:rsidRPr="002E3459" w:rsidRDefault="008023EE" w:rsidP="00D43EAF">
            <w:pPr>
              <w:rPr>
                <w:b/>
              </w:rPr>
            </w:pPr>
            <w:r w:rsidRPr="002E3459">
              <w:rPr>
                <w:b/>
              </w:rPr>
              <w:t>Responsibilities</w:t>
            </w:r>
            <w:r>
              <w:rPr>
                <w:b/>
              </w:rPr>
              <w:t xml:space="preserve"> </w:t>
            </w:r>
            <w:r w:rsidRPr="000D7228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prepare bids, </w:t>
            </w:r>
            <w:r w:rsidRPr="000D7228">
              <w:rPr>
                <w:b/>
                <w:i/>
                <w:sz w:val="16"/>
                <w:szCs w:val="16"/>
              </w:rPr>
              <w:t>place orders, approve orders, submit bids, pay bills, etc.)</w:t>
            </w:r>
          </w:p>
        </w:tc>
        <w:tc>
          <w:tcPr>
            <w:tcW w:w="1885" w:type="dxa"/>
          </w:tcPr>
          <w:p w14:paraId="63C22A78" w14:textId="77777777" w:rsidR="008023EE" w:rsidRPr="002E3459" w:rsidRDefault="008023EE" w:rsidP="00D43EAF">
            <w:pPr>
              <w:rPr>
                <w:b/>
              </w:rPr>
            </w:pPr>
            <w:r w:rsidRPr="002E3459">
              <w:rPr>
                <w:b/>
              </w:rPr>
              <w:t>Contact Information</w:t>
            </w:r>
          </w:p>
        </w:tc>
      </w:tr>
      <w:tr w:rsidR="008023EE" w14:paraId="43A45878" w14:textId="77777777" w:rsidTr="00D43EAF">
        <w:tc>
          <w:tcPr>
            <w:tcW w:w="2337" w:type="dxa"/>
          </w:tcPr>
          <w:p w14:paraId="0E690C36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98" w:type="dxa"/>
          </w:tcPr>
          <w:p w14:paraId="6F062A9D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5A9DAF50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6E5B67A7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3EE" w14:paraId="65608B2B" w14:textId="77777777" w:rsidTr="00D43EAF">
        <w:tc>
          <w:tcPr>
            <w:tcW w:w="2337" w:type="dxa"/>
          </w:tcPr>
          <w:p w14:paraId="12E2D587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8" w:type="dxa"/>
          </w:tcPr>
          <w:p w14:paraId="23265F08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12187839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4FC8CCAB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3EE" w14:paraId="4F95CF38" w14:textId="77777777" w:rsidTr="00D43EAF">
        <w:tc>
          <w:tcPr>
            <w:tcW w:w="2337" w:type="dxa"/>
          </w:tcPr>
          <w:p w14:paraId="43C7E2A9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8" w:type="dxa"/>
          </w:tcPr>
          <w:p w14:paraId="664F58C4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D0D3C36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4FCB9166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3EE" w14:paraId="76C73DD9" w14:textId="77777777" w:rsidTr="00D43EAF">
        <w:tc>
          <w:tcPr>
            <w:tcW w:w="2337" w:type="dxa"/>
          </w:tcPr>
          <w:p w14:paraId="413B7707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8" w:type="dxa"/>
          </w:tcPr>
          <w:p w14:paraId="21521FA9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6695613F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0BC09956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3EE" w14:paraId="7795CDB4" w14:textId="77777777" w:rsidTr="00D43EAF">
        <w:tc>
          <w:tcPr>
            <w:tcW w:w="2337" w:type="dxa"/>
          </w:tcPr>
          <w:p w14:paraId="549CA438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8" w:type="dxa"/>
          </w:tcPr>
          <w:p w14:paraId="1854D1E3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14:paraId="0904A744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12919F37" w14:textId="77777777" w:rsidR="008023EE" w:rsidRDefault="007A4A49" w:rsidP="00D43E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17298" w14:textId="77777777" w:rsidR="00C834C9" w:rsidRDefault="00C834C9"/>
    <w:p w14:paraId="579602F7" w14:textId="77777777" w:rsidR="008023EE" w:rsidRDefault="008023EE" w:rsidP="008023EE">
      <w:pPr>
        <w:rPr>
          <w:b/>
        </w:rPr>
      </w:pPr>
      <w:r w:rsidRPr="00366D29">
        <w:rPr>
          <w:b/>
        </w:rPr>
        <w:t xml:space="preserve">SECTION </w:t>
      </w:r>
      <w:r>
        <w:rPr>
          <w:b/>
        </w:rPr>
        <w:t>A</w:t>
      </w:r>
      <w:r w:rsidRPr="00366D29">
        <w:rPr>
          <w:b/>
        </w:rPr>
        <w:t>:  MICROPURCHASES</w:t>
      </w:r>
      <w:r>
        <w:rPr>
          <w:b/>
        </w:rPr>
        <w:t xml:space="preserve"> (Single procurements of &lt;$</w:t>
      </w:r>
      <w:r w:rsidR="00EE211B">
        <w:rPr>
          <w:b/>
        </w:rPr>
        <w:t>10,000*</w:t>
      </w:r>
      <w:r>
        <w:rPr>
          <w:b/>
        </w:rPr>
        <w:t>)</w:t>
      </w:r>
    </w:p>
    <w:p w14:paraId="30FC9E17" w14:textId="77777777" w:rsidR="008023EE" w:rsidRDefault="008023EE" w:rsidP="008023EE">
      <w:r>
        <w:t xml:space="preserve">Micropurchases may be </w:t>
      </w:r>
      <w:r w:rsidR="00095B48">
        <w:t>made when the</w:t>
      </w:r>
      <w:r>
        <w:t xml:space="preserve"> </w:t>
      </w:r>
      <w:r w:rsidR="00095B48">
        <w:t>per-transaction purchase</w:t>
      </w:r>
      <w:r>
        <w:t xml:space="preserve"> is less than $</w:t>
      </w:r>
      <w:r w:rsidR="00EE211B">
        <w:t>10,000*</w:t>
      </w:r>
      <w:r>
        <w:t>.  To qualify as a micropurchase, the following criteria will be used:</w:t>
      </w:r>
    </w:p>
    <w:p w14:paraId="6649A275" w14:textId="77777777" w:rsidR="00EE211B" w:rsidRDefault="00EE211B" w:rsidP="00EE211B">
      <w:pPr>
        <w:pStyle w:val="ListParagraph"/>
        <w:numPr>
          <w:ilvl w:val="0"/>
          <w:numId w:val="1"/>
        </w:numPr>
        <w:ind w:left="720"/>
      </w:pPr>
      <w:r>
        <w:t>The per-transaction purchase is below the micropurchasing threshold of $</w:t>
      </w:r>
      <w:r w:rsidRPr="002323A5">
        <w:t>10,000*.</w:t>
      </w:r>
      <w:r>
        <w:t xml:space="preserve"> </w:t>
      </w:r>
    </w:p>
    <w:p w14:paraId="31EA54FF" w14:textId="77777777" w:rsidR="00EE211B" w:rsidRDefault="00EE211B" w:rsidP="00EE211B">
      <w:pPr>
        <w:pStyle w:val="ListParagraph"/>
        <w:numPr>
          <w:ilvl w:val="0"/>
          <w:numId w:val="1"/>
        </w:numPr>
        <w:ind w:left="720"/>
      </w:pPr>
      <w:r>
        <w:t xml:space="preserve">The price of the procurement is reasonable. </w:t>
      </w:r>
    </w:p>
    <w:p w14:paraId="05CB8319" w14:textId="77777777" w:rsidR="00EE211B" w:rsidRDefault="00EE211B" w:rsidP="00EE211B">
      <w:pPr>
        <w:pStyle w:val="ListParagraph"/>
        <w:numPr>
          <w:ilvl w:val="0"/>
          <w:numId w:val="1"/>
        </w:numPr>
        <w:ind w:left="720"/>
      </w:pPr>
      <w:r>
        <w:t>The procurement is made non-competitively.</w:t>
      </w:r>
    </w:p>
    <w:p w14:paraId="6B70FBFE" w14:textId="77777777" w:rsidR="00EE211B" w:rsidRPr="0030383A" w:rsidRDefault="00EE211B" w:rsidP="00EE211B">
      <w:pPr>
        <w:pStyle w:val="ListParagraph"/>
        <w:numPr>
          <w:ilvl w:val="0"/>
          <w:numId w:val="1"/>
        </w:numPr>
        <w:ind w:left="720"/>
        <w:rPr>
          <w:color w:val="1F497D"/>
        </w:rPr>
      </w:pPr>
      <w:r w:rsidRPr="00875A73">
        <w:t xml:space="preserve">Effort </w:t>
      </w:r>
      <w:r>
        <w:t>should</w:t>
      </w:r>
      <w:r w:rsidRPr="00875A73">
        <w:t xml:space="preserve"> be made to make micropurchases equitably among all available suppliers.  </w:t>
      </w:r>
    </w:p>
    <w:p w14:paraId="68803C07" w14:textId="77777777" w:rsidR="00EE211B" w:rsidRDefault="00EE211B" w:rsidP="00EE211B">
      <w:pPr>
        <w:pStyle w:val="ListParagraph"/>
        <w:ind w:left="1080"/>
        <w:rPr>
          <w:color w:val="1F497D"/>
        </w:rPr>
      </w:pPr>
    </w:p>
    <w:p w14:paraId="1A8BC305" w14:textId="77777777" w:rsidR="00EE211B" w:rsidRPr="00D54D70" w:rsidRDefault="00EE211B" w:rsidP="00EE211B">
      <w:pPr>
        <w:pStyle w:val="ListParagraph"/>
      </w:pPr>
      <w:r w:rsidRPr="00D54D70">
        <w:t xml:space="preserve">*Sponsors may self-certify a threshold up to $50,000** on an annual basis and must maintain documentation of such self-certification. Sponsors choosing to self-certify must prepare and include a justification for the choice. The self-certification must include a justification, clear indication of the threshold, and supporting documentation of the following: </w:t>
      </w:r>
    </w:p>
    <w:p w14:paraId="7EC54E8F" w14:textId="77777777" w:rsidR="00EE211B" w:rsidRPr="00D54D70" w:rsidRDefault="00EE211B" w:rsidP="00EE211B">
      <w:pPr>
        <w:pStyle w:val="ListParagraph"/>
      </w:pPr>
      <w:r w:rsidRPr="00D54D70">
        <w:t xml:space="preserve">1) A qualification as a low-risk auditee, in accordance with the criteria in 2 CFR 200.520; </w:t>
      </w:r>
    </w:p>
    <w:p w14:paraId="7263C98B" w14:textId="77777777" w:rsidR="00EE211B" w:rsidRPr="00D54D70" w:rsidRDefault="00EE211B" w:rsidP="00EE211B">
      <w:pPr>
        <w:pStyle w:val="ListParagraph"/>
      </w:pPr>
      <w:r w:rsidRPr="00D54D70">
        <w:t>2) An annual internal institutional risk assessment to identify, mitigate and manage financial risks; or</w:t>
      </w:r>
    </w:p>
    <w:p w14:paraId="7937D49A" w14:textId="77777777" w:rsidR="00EE211B" w:rsidRPr="00D54D70" w:rsidRDefault="00EE211B" w:rsidP="00EE211B">
      <w:pPr>
        <w:pStyle w:val="ListParagraph"/>
      </w:pPr>
      <w:r w:rsidRPr="00D54D70">
        <w:t>3) For public institutions, a higher threshold consistent with State Law. Micropurchases may be made up to $50,000 on an annual basis</w:t>
      </w:r>
    </w:p>
    <w:p w14:paraId="6DE40291" w14:textId="77777777" w:rsidR="00EE211B" w:rsidRPr="00D54D70" w:rsidRDefault="00EE211B" w:rsidP="00EE211B">
      <w:pPr>
        <w:pStyle w:val="ListParagraph"/>
      </w:pPr>
      <w:r w:rsidRPr="00D54D70">
        <w:t xml:space="preserve">**State law in Kansas requires that formal purchasing be used when procuring non-food items in excess of $20,000. </w:t>
      </w:r>
    </w:p>
    <w:p w14:paraId="5F4360CC" w14:textId="77777777" w:rsidR="00EE211B" w:rsidRDefault="00EE211B" w:rsidP="00EE211B"/>
    <w:p w14:paraId="36E55025" w14:textId="77777777" w:rsidR="008023EE" w:rsidRPr="00EE211B" w:rsidRDefault="008023EE" w:rsidP="008023EE">
      <w:pPr>
        <w:rPr>
          <w:b/>
        </w:rPr>
      </w:pPr>
      <w:r w:rsidRPr="00EE211B">
        <w:rPr>
          <w:b/>
        </w:rPr>
        <w:lastRenderedPageBreak/>
        <w:t>Micropurchasing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cropurchasing Plan"/>
      </w:tblPr>
      <w:tblGrid>
        <w:gridCol w:w="3116"/>
        <w:gridCol w:w="3117"/>
        <w:gridCol w:w="3117"/>
      </w:tblGrid>
      <w:tr w:rsidR="008023EE" w14:paraId="662531BF" w14:textId="77777777" w:rsidTr="00D870ED">
        <w:trPr>
          <w:tblHeader/>
        </w:trPr>
        <w:tc>
          <w:tcPr>
            <w:tcW w:w="3116" w:type="dxa"/>
          </w:tcPr>
          <w:p w14:paraId="164073B6" w14:textId="77777777" w:rsidR="008023EE" w:rsidRDefault="008023EE" w:rsidP="008023EE">
            <w:r>
              <w:t>List of potential vendors (retail and/or wholesale)</w:t>
            </w:r>
          </w:p>
        </w:tc>
        <w:tc>
          <w:tcPr>
            <w:tcW w:w="3117" w:type="dxa"/>
          </w:tcPr>
          <w:p w14:paraId="41A3BF8B" w14:textId="77777777" w:rsidR="008023EE" w:rsidRDefault="008023EE" w:rsidP="008023EE">
            <w:r>
              <w:t>Types of food or supplies or services purchased from this vendor.</w:t>
            </w:r>
          </w:p>
        </w:tc>
        <w:tc>
          <w:tcPr>
            <w:tcW w:w="3117" w:type="dxa"/>
          </w:tcPr>
          <w:p w14:paraId="41F81AB4" w14:textId="77777777" w:rsidR="008023EE" w:rsidRDefault="008023EE" w:rsidP="00B920DF">
            <w:r>
              <w:t>Types of documents that will be used to verify purchases (invoices, receipts</w:t>
            </w:r>
            <w:r w:rsidR="00B920DF">
              <w:t>, statements)</w:t>
            </w:r>
          </w:p>
        </w:tc>
      </w:tr>
      <w:tr w:rsidR="008023EE" w14:paraId="1521D4EE" w14:textId="77777777" w:rsidTr="008023EE">
        <w:tc>
          <w:tcPr>
            <w:tcW w:w="3116" w:type="dxa"/>
          </w:tcPr>
          <w:p w14:paraId="3BF25BBB" w14:textId="77777777" w:rsidR="008023EE" w:rsidRDefault="007A4A49" w:rsidP="008023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BB5EBA0" w14:textId="77777777" w:rsidR="008023EE" w:rsidRDefault="007A4A49" w:rsidP="008023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6D1D3908" w14:textId="77777777" w:rsidR="008023EE" w:rsidRDefault="007A4A49" w:rsidP="008023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195B034D" w14:textId="77777777" w:rsidTr="008023EE">
        <w:tc>
          <w:tcPr>
            <w:tcW w:w="3116" w:type="dxa"/>
          </w:tcPr>
          <w:p w14:paraId="4DF26D07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684D72B8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E36DA20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581B3EB6" w14:textId="77777777" w:rsidTr="008023EE">
        <w:tc>
          <w:tcPr>
            <w:tcW w:w="3116" w:type="dxa"/>
          </w:tcPr>
          <w:p w14:paraId="539A563F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62EB8E58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1C0AF8C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4211CA6D" w14:textId="77777777" w:rsidTr="008023EE">
        <w:tc>
          <w:tcPr>
            <w:tcW w:w="3116" w:type="dxa"/>
          </w:tcPr>
          <w:p w14:paraId="2841B672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C00F439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4BA6337B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3C647001" w14:textId="77777777" w:rsidTr="008023EE">
        <w:tc>
          <w:tcPr>
            <w:tcW w:w="3116" w:type="dxa"/>
          </w:tcPr>
          <w:p w14:paraId="3F8FA225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44C4A86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DD3AB6D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6C925D76" w14:textId="77777777" w:rsidTr="008023EE">
        <w:tc>
          <w:tcPr>
            <w:tcW w:w="3116" w:type="dxa"/>
          </w:tcPr>
          <w:p w14:paraId="7429B67E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F4B01B2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B8D08AA" w14:textId="77777777" w:rsidR="007A4A49" w:rsidRDefault="007A4A49" w:rsidP="007A4A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1873E0" w14:textId="77777777" w:rsidR="008023EE" w:rsidRDefault="008023EE" w:rsidP="008023EE">
      <w:r>
        <w:t xml:space="preserve"> </w:t>
      </w:r>
    </w:p>
    <w:p w14:paraId="33222387" w14:textId="77777777" w:rsidR="00CC6755" w:rsidRPr="00CC6755" w:rsidRDefault="00CC6755" w:rsidP="00CC6755">
      <w:pPr>
        <w:rPr>
          <w:b/>
        </w:rPr>
      </w:pPr>
      <w:r w:rsidRPr="00CC6755">
        <w:rPr>
          <w:b/>
        </w:rPr>
        <w:t xml:space="preserve">SECTION </w:t>
      </w:r>
      <w:r>
        <w:rPr>
          <w:b/>
        </w:rPr>
        <w:t>B</w:t>
      </w:r>
      <w:r w:rsidRPr="00CC6755">
        <w:rPr>
          <w:b/>
        </w:rPr>
        <w:t>:  SMALL (INFORMAL) PURCHASES</w:t>
      </w:r>
    </w:p>
    <w:p w14:paraId="3FB9D300" w14:textId="0E83D394" w:rsidR="00CC6755" w:rsidRPr="00CC6755" w:rsidRDefault="00CC6755" w:rsidP="00CC6755">
      <w:r w:rsidRPr="00CC6755">
        <w:t xml:space="preserve">If the </w:t>
      </w:r>
      <w:proofErr w:type="gramStart"/>
      <w:r w:rsidRPr="00CC6755">
        <w:t>amount</w:t>
      </w:r>
      <w:proofErr w:type="gramEnd"/>
      <w:r w:rsidRPr="00CC6755">
        <w:t xml:space="preserve"> of purchases for </w:t>
      </w:r>
      <w:r>
        <w:t xml:space="preserve">food </w:t>
      </w:r>
      <w:r w:rsidRPr="00CC6755">
        <w:t xml:space="preserve">items is less </w:t>
      </w:r>
      <w:r w:rsidRPr="004973DE">
        <w:t>than $</w:t>
      </w:r>
      <w:r w:rsidR="000F0617" w:rsidRPr="004973DE">
        <w:t>250,000</w:t>
      </w:r>
      <w:r w:rsidRPr="004973DE">
        <w:t xml:space="preserve"> and </w:t>
      </w:r>
      <w:r>
        <w:t>the amount of purchases for non-food items is less than $20,000, informal purchasing may be used.</w:t>
      </w:r>
    </w:p>
    <w:p w14:paraId="56E0827D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Written specifications will be prepared and provided to the vendor.</w:t>
      </w:r>
    </w:p>
    <w:p w14:paraId="7DFAC6EE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The</w:t>
      </w:r>
      <w:r w:rsidR="007A4A49">
        <w:t xml:space="preserve">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bookmarkStart w:id="4" w:name="Text7"/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bookmarkEnd w:id="4"/>
      <w:r w:rsidRPr="00CC6755">
        <w:t xml:space="preserve"> will be responsible for contacting potential vendors when the price quotes are needed.</w:t>
      </w:r>
    </w:p>
    <w:p w14:paraId="18AE8A48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Each vendor will be contacted and given an opportunity to provide a price quote on the same specifications.  A minimum of two bids will be solicited, with additional solicitations being a best practice.</w:t>
      </w:r>
    </w:p>
    <w:p w14:paraId="7AFB9C55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 xml:space="preserve">Each vendor will be given an opportunity to bid “…or equal product” to any specifications given. </w:t>
      </w:r>
    </w:p>
    <w:p w14:paraId="21A96137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 xml:space="preserve"> The price quotes will receive appropriate confidentiality before awarded.</w:t>
      </w:r>
    </w:p>
    <w:p w14:paraId="7A034A07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 xml:space="preserve">Quotes will be awarded by the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r w:rsidRPr="000B184B">
        <w:t>.</w:t>
      </w:r>
      <w:r w:rsidRPr="00C011B6">
        <w:rPr>
          <w:color w:val="FF0000"/>
        </w:rPr>
        <w:t xml:space="preserve">  </w:t>
      </w:r>
    </w:p>
    <w:p w14:paraId="6B3BE095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The</w:t>
      </w:r>
      <w:r w:rsidR="007A4A49">
        <w:t xml:space="preserve">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r w:rsidRPr="00C011B6">
        <w:rPr>
          <w:color w:val="FF0000"/>
        </w:rPr>
        <w:t xml:space="preserve"> </w:t>
      </w:r>
      <w:r w:rsidRPr="00CC6755">
        <w:t>will be responsible for documentation of records to show selection of vendor, reasons for selection, names of all vendors contacted, price quotes from each vendor, and written specifications.  The</w:t>
      </w:r>
      <w:r w:rsidR="007A4A49">
        <w:t xml:space="preserve">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r w:rsidRPr="00C011B6">
        <w:rPr>
          <w:color w:val="FF0000"/>
        </w:rPr>
        <w:t xml:space="preserve"> </w:t>
      </w:r>
      <w:r w:rsidRPr="00CC6755">
        <w:t>will determine how these records will be kept (e-files, folder, notebook, etc.)</w:t>
      </w:r>
    </w:p>
    <w:p w14:paraId="73239FA6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The</w:t>
      </w:r>
      <w:r w:rsidR="007A4A49">
        <w:t xml:space="preserve">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r w:rsidRPr="00C011B6">
        <w:rPr>
          <w:color w:val="FF0000"/>
        </w:rPr>
        <w:t xml:space="preserve"> </w:t>
      </w:r>
      <w:r w:rsidRPr="00CC6755">
        <w:t>will be responsible for documentation that the actual product specified is received.</w:t>
      </w:r>
    </w:p>
    <w:p w14:paraId="38B09652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Any time an accepted item is not available, the</w:t>
      </w:r>
      <w:r w:rsidR="007A4A49">
        <w:t xml:space="preserve">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r w:rsidRPr="00C011B6">
        <w:rPr>
          <w:color w:val="FF0000"/>
        </w:rPr>
        <w:t xml:space="preserve"> </w:t>
      </w:r>
      <w:r w:rsidRPr="00CC6755">
        <w:t>will select the acceptable alternate.  Full documentation will be made available as to the selection of the acceptable item</w:t>
      </w:r>
    </w:p>
    <w:p w14:paraId="69839ABC" w14:textId="77777777" w:rsidR="00CC6755" w:rsidRPr="00CC6755" w:rsidRDefault="00CC6755" w:rsidP="00CC6755">
      <w:pPr>
        <w:numPr>
          <w:ilvl w:val="0"/>
          <w:numId w:val="2"/>
        </w:numPr>
        <w:contextualSpacing/>
      </w:pPr>
      <w:r w:rsidRPr="00CC6755">
        <w:t>Bids will be awarded on the following criteria:</w:t>
      </w:r>
    </w:p>
    <w:p w14:paraId="78D3FB0E" w14:textId="77777777" w:rsidR="00CC6755" w:rsidRPr="00CC6755" w:rsidRDefault="00CC6755" w:rsidP="00CC6755">
      <w:pPr>
        <w:numPr>
          <w:ilvl w:val="1"/>
          <w:numId w:val="2"/>
        </w:numPr>
        <w:contextualSpacing/>
      </w:pPr>
      <w:r w:rsidRPr="00CC6755">
        <w:t>PRICE is the primary factor;</w:t>
      </w:r>
    </w:p>
    <w:p w14:paraId="77534357" w14:textId="77777777" w:rsidR="00CC6755" w:rsidRPr="00CC6755" w:rsidRDefault="00CC6755" w:rsidP="00CC6755">
      <w:pPr>
        <w:ind w:left="1440"/>
        <w:contextualSpacing/>
        <w:rPr>
          <w:i/>
        </w:rPr>
      </w:pPr>
      <w:r w:rsidRPr="00CC6755">
        <w:rPr>
          <w:i/>
        </w:rPr>
        <w:t>Indicate other evaluation factors below:</w:t>
      </w:r>
    </w:p>
    <w:p w14:paraId="504B592A" w14:textId="77777777" w:rsidR="00CC6755" w:rsidRPr="007A4A49" w:rsidRDefault="007A4A49" w:rsidP="00CC6755">
      <w:pPr>
        <w:numPr>
          <w:ilvl w:val="1"/>
          <w:numId w:val="2"/>
        </w:numPr>
        <w:contextualSpacing/>
        <w:rPr>
          <w:u w:val="single"/>
        </w:rPr>
      </w:pPr>
      <w:r w:rsidRPr="007A4A4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A4A49">
        <w:rPr>
          <w:u w:val="single"/>
        </w:rPr>
        <w:instrText xml:space="preserve"> FORMTEXT </w:instrText>
      </w:r>
      <w:r w:rsidRPr="007A4A49">
        <w:rPr>
          <w:u w:val="single"/>
        </w:rPr>
      </w:r>
      <w:r w:rsidRPr="007A4A49">
        <w:rPr>
          <w:u w:val="single"/>
        </w:rPr>
        <w:fldChar w:fldCharType="separate"/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u w:val="single"/>
        </w:rPr>
        <w:fldChar w:fldCharType="end"/>
      </w:r>
      <w:bookmarkEnd w:id="5"/>
    </w:p>
    <w:p w14:paraId="75A88422" w14:textId="77777777" w:rsidR="007A4A49" w:rsidRPr="007A4A49" w:rsidRDefault="007A4A49" w:rsidP="007A4A49">
      <w:pPr>
        <w:numPr>
          <w:ilvl w:val="1"/>
          <w:numId w:val="2"/>
        </w:numPr>
        <w:contextualSpacing/>
        <w:rPr>
          <w:u w:val="single"/>
        </w:rPr>
      </w:pPr>
      <w:r w:rsidRPr="007A4A4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A4A49">
        <w:rPr>
          <w:u w:val="single"/>
        </w:rPr>
        <w:instrText xml:space="preserve"> FORMTEXT </w:instrText>
      </w:r>
      <w:r w:rsidRPr="007A4A49">
        <w:rPr>
          <w:u w:val="single"/>
        </w:rPr>
      </w:r>
      <w:r w:rsidRPr="007A4A49">
        <w:rPr>
          <w:u w:val="single"/>
        </w:rPr>
        <w:fldChar w:fldCharType="separate"/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u w:val="single"/>
        </w:rPr>
        <w:fldChar w:fldCharType="end"/>
      </w:r>
    </w:p>
    <w:p w14:paraId="5CE2116C" w14:textId="77777777" w:rsidR="007A4A49" w:rsidRPr="007A4A49" w:rsidRDefault="007A4A49" w:rsidP="007A4A49">
      <w:pPr>
        <w:numPr>
          <w:ilvl w:val="1"/>
          <w:numId w:val="2"/>
        </w:numPr>
        <w:contextualSpacing/>
        <w:rPr>
          <w:u w:val="single"/>
        </w:rPr>
      </w:pPr>
      <w:r w:rsidRPr="007A4A4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A4A49">
        <w:rPr>
          <w:u w:val="single"/>
        </w:rPr>
        <w:instrText xml:space="preserve"> FORMTEXT </w:instrText>
      </w:r>
      <w:r w:rsidRPr="007A4A49">
        <w:rPr>
          <w:u w:val="single"/>
        </w:rPr>
      </w:r>
      <w:r w:rsidRPr="007A4A49">
        <w:rPr>
          <w:u w:val="single"/>
        </w:rPr>
        <w:fldChar w:fldCharType="separate"/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noProof/>
          <w:u w:val="single"/>
        </w:rPr>
        <w:t> </w:t>
      </w:r>
      <w:r w:rsidRPr="007A4A49">
        <w:rPr>
          <w:u w:val="single"/>
        </w:rPr>
        <w:fldChar w:fldCharType="end"/>
      </w:r>
    </w:p>
    <w:p w14:paraId="67C34CD9" w14:textId="77777777" w:rsidR="00CC6755" w:rsidRDefault="00CC6755" w:rsidP="00CC6755">
      <w:pPr>
        <w:numPr>
          <w:ilvl w:val="0"/>
          <w:numId w:val="2"/>
        </w:numPr>
        <w:contextualSpacing/>
      </w:pPr>
      <w:r w:rsidRPr="00CC6755">
        <w:t>The</w:t>
      </w:r>
      <w:r w:rsidR="007A4A49">
        <w:t xml:space="preserve"> </w:t>
      </w:r>
      <w:r w:rsidR="007A4A49">
        <w:fldChar w:fldCharType="begin">
          <w:ffData>
            <w:name w:val="Text7"/>
            <w:enabled/>
            <w:calcOnExit w:val="0"/>
            <w:textInput>
              <w:default w:val="&lt;Title of person/position&gt;"/>
            </w:textInput>
          </w:ffData>
        </w:fldChar>
      </w:r>
      <w:r w:rsidR="007A4A49">
        <w:instrText xml:space="preserve"> FORMTEXT </w:instrText>
      </w:r>
      <w:r w:rsidR="007A4A49">
        <w:fldChar w:fldCharType="separate"/>
      </w:r>
      <w:r w:rsidR="007A4A49">
        <w:rPr>
          <w:noProof/>
        </w:rPr>
        <w:t>&lt;Title of person/position&gt;</w:t>
      </w:r>
      <w:r w:rsidR="007A4A49">
        <w:fldChar w:fldCharType="end"/>
      </w:r>
      <w:r w:rsidR="007A4A49">
        <w:t xml:space="preserve"> </w:t>
      </w:r>
      <w:r w:rsidRPr="00CC6755">
        <w:t>is required to sign all quote tabulations, signifying a review and approval of the selections.</w:t>
      </w:r>
    </w:p>
    <w:p w14:paraId="4A682142" w14:textId="77777777" w:rsidR="004B61DE" w:rsidRDefault="004B61DE" w:rsidP="004B61DE">
      <w:pPr>
        <w:contextualSpacing/>
      </w:pPr>
    </w:p>
    <w:p w14:paraId="17D0C78E" w14:textId="77777777" w:rsidR="000774C6" w:rsidRDefault="000774C6" w:rsidP="004B61DE">
      <w:pPr>
        <w:contextualSpacing/>
        <w:rPr>
          <w:b/>
        </w:rPr>
      </w:pPr>
      <w:r>
        <w:rPr>
          <w:b/>
        </w:rPr>
        <w:br w:type="page"/>
      </w:r>
    </w:p>
    <w:p w14:paraId="3F845F9D" w14:textId="77777777" w:rsidR="004B61DE" w:rsidRPr="000774C6" w:rsidRDefault="004B61DE" w:rsidP="004B61DE">
      <w:pPr>
        <w:contextualSpacing/>
        <w:rPr>
          <w:b/>
        </w:rPr>
      </w:pPr>
      <w:r w:rsidRPr="000774C6">
        <w:rPr>
          <w:b/>
        </w:rPr>
        <w:lastRenderedPageBreak/>
        <w:t>Informal Purchasing Plan</w:t>
      </w:r>
    </w:p>
    <w:p w14:paraId="5454D962" w14:textId="77777777" w:rsidR="007A4A49" w:rsidRDefault="007A4A49" w:rsidP="004B61DE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l Purchasing Plan"/>
      </w:tblPr>
      <w:tblGrid>
        <w:gridCol w:w="3505"/>
        <w:gridCol w:w="1948"/>
        <w:gridCol w:w="1948"/>
        <w:gridCol w:w="1949"/>
      </w:tblGrid>
      <w:tr w:rsidR="004B61DE" w14:paraId="2E2CB0A9" w14:textId="77777777" w:rsidTr="00D870ED">
        <w:trPr>
          <w:tblHeader/>
        </w:trPr>
        <w:tc>
          <w:tcPr>
            <w:tcW w:w="3505" w:type="dxa"/>
          </w:tcPr>
          <w:p w14:paraId="56246C27" w14:textId="77777777" w:rsidR="004B61DE" w:rsidRDefault="004B61DE" w:rsidP="004B61DE">
            <w:pPr>
              <w:contextualSpacing/>
            </w:pPr>
            <w:r>
              <w:t>Products and/or Services Description</w:t>
            </w:r>
          </w:p>
          <w:p w14:paraId="4E55EF0E" w14:textId="77777777" w:rsidR="004B61DE" w:rsidRPr="004B61DE" w:rsidRDefault="004B61DE" w:rsidP="004B61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(produce, bread products, frozen foods, milk, canned and dry goods, paper goods, cleaning supplies, etc.)</w:t>
            </w:r>
          </w:p>
        </w:tc>
        <w:tc>
          <w:tcPr>
            <w:tcW w:w="1948" w:type="dxa"/>
          </w:tcPr>
          <w:p w14:paraId="51C0D296" w14:textId="77777777" w:rsidR="004B61DE" w:rsidRDefault="004B61DE" w:rsidP="004B61DE">
            <w:pPr>
              <w:contextualSpacing/>
            </w:pPr>
            <w:r>
              <w:t>Frequency or Duration</w:t>
            </w:r>
          </w:p>
          <w:p w14:paraId="6D5BB0E9" w14:textId="77777777" w:rsidR="004B61DE" w:rsidRPr="004B61DE" w:rsidRDefault="004B61DE" w:rsidP="004B61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(Price quotes per week or month or duration of SFSP)</w:t>
            </w:r>
          </w:p>
        </w:tc>
        <w:tc>
          <w:tcPr>
            <w:tcW w:w="1948" w:type="dxa"/>
          </w:tcPr>
          <w:p w14:paraId="719ED47A" w14:textId="77777777" w:rsidR="004B61DE" w:rsidRDefault="004B61DE" w:rsidP="004B61DE">
            <w:pPr>
              <w:contextualSpacing/>
            </w:pPr>
            <w:r>
              <w:t>Award Type</w:t>
            </w:r>
          </w:p>
          <w:p w14:paraId="754A33A5" w14:textId="77777777" w:rsidR="004B61DE" w:rsidRPr="004B61DE" w:rsidRDefault="004B61DE" w:rsidP="004B61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(Line item or bottom line)</w:t>
            </w:r>
          </w:p>
        </w:tc>
        <w:tc>
          <w:tcPr>
            <w:tcW w:w="1949" w:type="dxa"/>
          </w:tcPr>
          <w:p w14:paraId="3AAC2D5D" w14:textId="77777777" w:rsidR="004B61DE" w:rsidRDefault="004B61DE" w:rsidP="004B61DE">
            <w:pPr>
              <w:contextualSpacing/>
            </w:pPr>
            <w:r>
              <w:t>Contract Award Type</w:t>
            </w:r>
          </w:p>
          <w:p w14:paraId="7A551C54" w14:textId="77777777" w:rsidR="004B61DE" w:rsidRPr="004B61DE" w:rsidRDefault="004B61DE" w:rsidP="004B61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(fixed price, fixed price plus escalation clause, cost plus fixed fee)</w:t>
            </w:r>
          </w:p>
        </w:tc>
      </w:tr>
      <w:tr w:rsidR="004B61DE" w14:paraId="71D80BA2" w14:textId="77777777" w:rsidTr="004B61DE">
        <w:tc>
          <w:tcPr>
            <w:tcW w:w="3505" w:type="dxa"/>
          </w:tcPr>
          <w:p w14:paraId="03821DD6" w14:textId="77777777" w:rsidR="004B61DE" w:rsidRDefault="007A4A49" w:rsidP="004B61DE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48" w:type="dxa"/>
          </w:tcPr>
          <w:p w14:paraId="31BF576F" w14:textId="77777777" w:rsidR="004B61DE" w:rsidRDefault="007A4A49" w:rsidP="004B61DE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148A1C1D" w14:textId="77777777" w:rsidR="004B61DE" w:rsidRDefault="007A4A49" w:rsidP="004B61DE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</w:tcPr>
          <w:p w14:paraId="11652F66" w14:textId="77777777" w:rsidR="004B61DE" w:rsidRDefault="007A4A49" w:rsidP="004B61DE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560D3F2E" w14:textId="77777777" w:rsidTr="004B61DE">
        <w:tc>
          <w:tcPr>
            <w:tcW w:w="3505" w:type="dxa"/>
          </w:tcPr>
          <w:p w14:paraId="08432CCF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141AA47E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5D253E74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</w:tcPr>
          <w:p w14:paraId="78D9C952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500B78E5" w14:textId="77777777" w:rsidTr="004B61DE">
        <w:tc>
          <w:tcPr>
            <w:tcW w:w="3505" w:type="dxa"/>
          </w:tcPr>
          <w:p w14:paraId="553DB33B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3B11D160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359A1BC7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</w:tcPr>
          <w:p w14:paraId="74287B34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7A324616" w14:textId="77777777" w:rsidTr="004B61DE">
        <w:tc>
          <w:tcPr>
            <w:tcW w:w="3505" w:type="dxa"/>
          </w:tcPr>
          <w:p w14:paraId="6329BE88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537F6356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5912C4B7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</w:tcPr>
          <w:p w14:paraId="40117E97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62026D5A" w14:textId="77777777" w:rsidTr="004B61DE">
        <w:tc>
          <w:tcPr>
            <w:tcW w:w="3505" w:type="dxa"/>
          </w:tcPr>
          <w:p w14:paraId="75B7B506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23A88AE9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13E5DD7F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</w:tcPr>
          <w:p w14:paraId="746F043C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49" w14:paraId="5F37020B" w14:textId="77777777" w:rsidTr="004B61DE">
        <w:tc>
          <w:tcPr>
            <w:tcW w:w="3505" w:type="dxa"/>
          </w:tcPr>
          <w:p w14:paraId="122A03C5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70DF4985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8" w:type="dxa"/>
          </w:tcPr>
          <w:p w14:paraId="411472EB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</w:tcPr>
          <w:p w14:paraId="48898819" w14:textId="77777777" w:rsidR="007A4A49" w:rsidRDefault="007A4A49" w:rsidP="007A4A49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564D77" w14:textId="77777777" w:rsidR="000774C6" w:rsidRDefault="000774C6" w:rsidP="00B920DF">
      <w:pPr>
        <w:rPr>
          <w:b/>
        </w:rPr>
      </w:pPr>
    </w:p>
    <w:p w14:paraId="75E6B687" w14:textId="77777777" w:rsidR="00B920DF" w:rsidRPr="00B920DF" w:rsidRDefault="00B920DF" w:rsidP="00B920DF">
      <w:pPr>
        <w:rPr>
          <w:b/>
        </w:rPr>
      </w:pPr>
      <w:r w:rsidRPr="00B920DF">
        <w:rPr>
          <w:b/>
        </w:rPr>
        <w:t xml:space="preserve">SECTION </w:t>
      </w:r>
      <w:r>
        <w:rPr>
          <w:b/>
        </w:rPr>
        <w:t>C</w:t>
      </w:r>
      <w:r w:rsidRPr="00B920DF">
        <w:rPr>
          <w:b/>
        </w:rPr>
        <w:t xml:space="preserve">:  WRITTEN STANDARD OF CONDUCT   </w:t>
      </w:r>
    </w:p>
    <w:p w14:paraId="2EF55341" w14:textId="77777777" w:rsidR="00B920DF" w:rsidRPr="00B920DF" w:rsidRDefault="00B920DF" w:rsidP="00B920DF">
      <w:pPr>
        <w:rPr>
          <w:rFonts w:ascii="Arial" w:hAnsi="Arial" w:cs="Arial"/>
          <w:color w:val="000000"/>
          <w:sz w:val="32"/>
          <w:szCs w:val="32"/>
        </w:rPr>
      </w:pPr>
      <w:r w:rsidRPr="00B920DF">
        <w:t xml:space="preserve">The following conduct will be expected of all persons who are engaged in the awarding and administration of contracts supported by </w:t>
      </w:r>
      <w:r>
        <w:t xml:space="preserve">Summer Food </w:t>
      </w:r>
      <w:r w:rsidRPr="00B920DF">
        <w:t xml:space="preserve">Service </w:t>
      </w:r>
      <w:r>
        <w:t xml:space="preserve">Program </w:t>
      </w:r>
      <w:r w:rsidRPr="00B920DF">
        <w:t>Funds.  These written standards of conduct include:</w:t>
      </w:r>
    </w:p>
    <w:p w14:paraId="1487A1FC" w14:textId="77777777" w:rsidR="00B920DF" w:rsidRPr="00B920DF" w:rsidRDefault="00B920DF" w:rsidP="00B920DF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9" w:right="189"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</w:rPr>
        <w:t xml:space="preserve">No </w:t>
      </w:r>
      <w:r w:rsidRPr="00B920DF">
        <w:rPr>
          <w:rFonts w:cstheme="minorHAnsi"/>
          <w:color w:val="231F20"/>
          <w:spacing w:val="-1"/>
        </w:rPr>
        <w:t>employee</w:t>
      </w:r>
      <w:r w:rsidRPr="00B920DF">
        <w:rPr>
          <w:rFonts w:cstheme="minorHAnsi"/>
          <w:color w:val="231F20"/>
        </w:rPr>
        <w:t xml:space="preserve"> </w:t>
      </w:r>
      <w:r>
        <w:rPr>
          <w:rFonts w:cstheme="minorHAnsi"/>
          <w:color w:val="231F20"/>
        </w:rPr>
        <w:t xml:space="preserve">or volunteer </w:t>
      </w:r>
      <w:r w:rsidRPr="00B920DF">
        <w:rPr>
          <w:rFonts w:cstheme="minorHAnsi"/>
          <w:color w:val="231F20"/>
        </w:rPr>
        <w:t xml:space="preserve">of the Sponsor shall participate in the selection, award or administration of a contract when any of the following persons have a financial or other interest in or tangible personal benefit from a firm considered for the contract.  </w:t>
      </w:r>
    </w:p>
    <w:p w14:paraId="325DEAF5" w14:textId="77777777" w:rsidR="00B920DF" w:rsidRPr="00B920DF" w:rsidRDefault="00B920DF" w:rsidP="00B920D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Employee</w:t>
      </w:r>
    </w:p>
    <w:p w14:paraId="580B8B80" w14:textId="77777777" w:rsidR="00B920DF" w:rsidRPr="00B920DF" w:rsidRDefault="00B920DF" w:rsidP="00B920D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Officer</w:t>
      </w:r>
    </w:p>
    <w:p w14:paraId="4DF386D0" w14:textId="77777777" w:rsidR="00B920DF" w:rsidRPr="00B920DF" w:rsidRDefault="00B920DF" w:rsidP="00B920D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Agent</w:t>
      </w:r>
    </w:p>
    <w:p w14:paraId="1287C730" w14:textId="77777777" w:rsidR="00B920DF" w:rsidRPr="00B920DF" w:rsidRDefault="00B920DF" w:rsidP="00B920D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Any member of his/her immediate family</w:t>
      </w:r>
    </w:p>
    <w:p w14:paraId="7DF125F2" w14:textId="77777777" w:rsidR="00B920DF" w:rsidRPr="00B920DF" w:rsidRDefault="00B920DF" w:rsidP="00B920D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His/her partner</w:t>
      </w:r>
    </w:p>
    <w:p w14:paraId="2749A6E2" w14:textId="77777777" w:rsidR="00B920DF" w:rsidRPr="00B920DF" w:rsidRDefault="00B920DF" w:rsidP="00B920D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B920DF">
        <w:rPr>
          <w:rFonts w:cstheme="minorHAnsi"/>
          <w:color w:val="231F20"/>
          <w:spacing w:val="-1"/>
        </w:rPr>
        <w:t>An organization which employs, or is about to employ, any of the above.</w:t>
      </w:r>
    </w:p>
    <w:p w14:paraId="4F93EA37" w14:textId="77777777" w:rsidR="00B920DF" w:rsidRPr="00B920DF" w:rsidRDefault="00B920DF" w:rsidP="00B920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</w:rPr>
      </w:pPr>
    </w:p>
    <w:p w14:paraId="788D3012" w14:textId="77777777" w:rsidR="00B920DF" w:rsidRPr="00B920DF" w:rsidRDefault="00B920DF" w:rsidP="00B920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Employees,</w:t>
      </w:r>
      <w:r w:rsidRPr="00B920DF">
        <w:rPr>
          <w:rFonts w:cstheme="minorHAnsi"/>
          <w:color w:val="231F20"/>
        </w:rPr>
        <w:t xml:space="preserve"> </w:t>
      </w:r>
      <w:r>
        <w:rPr>
          <w:rFonts w:cstheme="minorHAnsi"/>
          <w:color w:val="231F20"/>
          <w:spacing w:val="-1"/>
        </w:rPr>
        <w:t>volunteers</w:t>
      </w:r>
      <w:r w:rsidRPr="00B920DF">
        <w:rPr>
          <w:rFonts w:cstheme="minorHAnsi"/>
          <w:color w:val="231F20"/>
          <w:spacing w:val="-1"/>
        </w:rPr>
        <w:t>,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and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their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immediate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families</w:t>
      </w:r>
      <w:r w:rsidRPr="00B920DF">
        <w:rPr>
          <w:rFonts w:cstheme="minorHAnsi"/>
          <w:color w:val="231F20"/>
        </w:rPr>
        <w:t xml:space="preserve"> shall neither</w:t>
      </w:r>
      <w:r w:rsidRPr="00B920DF">
        <w:rPr>
          <w:rFonts w:cstheme="minorHAnsi"/>
          <w:color w:val="231F20"/>
          <w:spacing w:val="-3"/>
        </w:rPr>
        <w:t xml:space="preserve"> </w:t>
      </w:r>
      <w:r w:rsidRPr="00B920DF">
        <w:rPr>
          <w:rFonts w:cstheme="minorHAnsi"/>
          <w:color w:val="231F20"/>
        </w:rPr>
        <w:t>ask</w:t>
      </w:r>
      <w:r w:rsidRPr="00B920DF">
        <w:rPr>
          <w:rFonts w:cstheme="minorHAnsi"/>
          <w:color w:val="231F20"/>
          <w:spacing w:val="63"/>
        </w:rPr>
        <w:t xml:space="preserve"> </w:t>
      </w:r>
      <w:r w:rsidRPr="00B920DF">
        <w:rPr>
          <w:rFonts w:cstheme="minorHAnsi"/>
          <w:color w:val="231F20"/>
        </w:rPr>
        <w:t xml:space="preserve">nor </w:t>
      </w:r>
      <w:r w:rsidRPr="00B920DF">
        <w:rPr>
          <w:rFonts w:cstheme="minorHAnsi"/>
          <w:color w:val="231F20"/>
          <w:spacing w:val="-1"/>
        </w:rPr>
        <w:t>accept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gratuities,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favors,</w:t>
      </w:r>
      <w:r w:rsidRPr="00B920DF">
        <w:rPr>
          <w:rFonts w:cstheme="minorHAnsi"/>
          <w:color w:val="231F20"/>
        </w:rPr>
        <w:t xml:space="preserve"> or </w:t>
      </w:r>
      <w:r w:rsidRPr="00B920DF">
        <w:rPr>
          <w:rFonts w:cstheme="minorHAnsi"/>
          <w:color w:val="231F20"/>
          <w:spacing w:val="-1"/>
        </w:rPr>
        <w:t>anything of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monetary</w:t>
      </w:r>
      <w:r w:rsidRPr="00B920DF">
        <w:rPr>
          <w:rFonts w:cstheme="minorHAnsi"/>
          <w:color w:val="231F20"/>
          <w:spacing w:val="-4"/>
        </w:rPr>
        <w:t xml:space="preserve"> </w:t>
      </w:r>
      <w:r w:rsidRPr="00B920DF">
        <w:rPr>
          <w:rFonts w:cstheme="minorHAnsi"/>
          <w:color w:val="231F20"/>
          <w:spacing w:val="-1"/>
        </w:rPr>
        <w:t>value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1"/>
        </w:rPr>
        <w:t xml:space="preserve">from </w:t>
      </w:r>
      <w:r w:rsidRPr="00B920DF">
        <w:rPr>
          <w:rFonts w:cstheme="minorHAnsi"/>
          <w:color w:val="231F20"/>
          <w:spacing w:val="-1"/>
        </w:rPr>
        <w:t>vendors, contractors, or parties to subcontracts including:</w:t>
      </w:r>
    </w:p>
    <w:p w14:paraId="5B7A188D" w14:textId="77777777" w:rsidR="00B920DF" w:rsidRPr="00B920DF" w:rsidRDefault="00B920DF" w:rsidP="00B920DF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Entertainment</w:t>
      </w:r>
    </w:p>
    <w:p w14:paraId="760CB65B" w14:textId="77777777" w:rsidR="00B920DF" w:rsidRPr="00B920DF" w:rsidRDefault="00B920DF" w:rsidP="00B920DF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Hotel Rooms</w:t>
      </w:r>
    </w:p>
    <w:p w14:paraId="60BCB8CB" w14:textId="77777777" w:rsidR="00B920DF" w:rsidRPr="00B920DF" w:rsidRDefault="00B920DF" w:rsidP="00B920DF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Transportation</w:t>
      </w:r>
    </w:p>
    <w:p w14:paraId="430A27C7" w14:textId="77777777" w:rsidR="00B920DF" w:rsidRPr="00B920DF" w:rsidRDefault="00B920DF" w:rsidP="00B920DF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Gifts</w:t>
      </w:r>
    </w:p>
    <w:p w14:paraId="77A4C393" w14:textId="77777777" w:rsidR="00B920DF" w:rsidRPr="00B920DF" w:rsidRDefault="00B920DF" w:rsidP="00B920DF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contextualSpacing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  <w:spacing w:val="-1"/>
        </w:rPr>
        <w:t>Meals</w:t>
      </w:r>
    </w:p>
    <w:p w14:paraId="06EFC6C8" w14:textId="77777777" w:rsidR="00B920DF" w:rsidRPr="00B920DF" w:rsidRDefault="00B920DF" w:rsidP="00B920D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</w:p>
    <w:p w14:paraId="37A99B2F" w14:textId="77777777" w:rsidR="00B920DF" w:rsidRPr="00B920DF" w:rsidRDefault="00B920DF" w:rsidP="00B920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89"/>
        <w:rPr>
          <w:rFonts w:cstheme="minorHAnsi"/>
          <w:color w:val="000000"/>
        </w:rPr>
      </w:pPr>
      <w:r w:rsidRPr="00B920DF">
        <w:rPr>
          <w:rFonts w:cstheme="minorHAnsi"/>
          <w:color w:val="231F20"/>
        </w:rPr>
        <w:t>At all</w:t>
      </w:r>
      <w:r w:rsidRPr="00B920DF">
        <w:rPr>
          <w:rFonts w:cstheme="minorHAnsi"/>
          <w:color w:val="231F20"/>
          <w:spacing w:val="-1"/>
        </w:rPr>
        <w:t xml:space="preserve"> times, employees</w:t>
      </w:r>
      <w:r w:rsidRPr="00B920DF">
        <w:rPr>
          <w:rFonts w:cstheme="minorHAnsi"/>
          <w:color w:val="231F20"/>
        </w:rPr>
        <w:t xml:space="preserve"> and</w:t>
      </w:r>
      <w:r w:rsidRPr="00B920DF">
        <w:rPr>
          <w:rFonts w:cstheme="minorHAnsi"/>
          <w:color w:val="231F20"/>
          <w:spacing w:val="-2"/>
        </w:rPr>
        <w:t xml:space="preserve"> </w:t>
      </w:r>
      <w:r>
        <w:rPr>
          <w:rFonts w:cstheme="minorHAnsi"/>
          <w:color w:val="231F20"/>
          <w:spacing w:val="-1"/>
        </w:rPr>
        <w:t>volunteers</w:t>
      </w:r>
      <w:r w:rsidRPr="00B920DF">
        <w:rPr>
          <w:rFonts w:cstheme="minorHAnsi"/>
          <w:color w:val="231F20"/>
          <w:spacing w:val="-1"/>
        </w:rPr>
        <w:t xml:space="preserve"> </w:t>
      </w:r>
      <w:r w:rsidRPr="00B920DF">
        <w:rPr>
          <w:rFonts w:cstheme="minorHAnsi"/>
          <w:color w:val="231F20"/>
        </w:rPr>
        <w:t>should be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aware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of</w:t>
      </w:r>
      <w:r w:rsidRPr="00B920DF">
        <w:rPr>
          <w:rFonts w:cstheme="minorHAnsi"/>
          <w:color w:val="231F20"/>
        </w:rPr>
        <w:t xml:space="preserve"> how</w:t>
      </w:r>
      <w:r w:rsidRPr="00B920DF">
        <w:rPr>
          <w:rFonts w:cstheme="minorHAnsi"/>
          <w:color w:val="231F20"/>
          <w:spacing w:val="-3"/>
        </w:rPr>
        <w:t xml:space="preserve"> </w:t>
      </w:r>
      <w:r w:rsidRPr="00B920DF">
        <w:rPr>
          <w:rFonts w:cstheme="minorHAnsi"/>
          <w:color w:val="231F20"/>
        </w:rPr>
        <w:t>their</w:t>
      </w:r>
      <w:r w:rsidRPr="00B920DF">
        <w:rPr>
          <w:rFonts w:cstheme="minorHAnsi"/>
          <w:color w:val="231F20"/>
          <w:spacing w:val="43"/>
        </w:rPr>
        <w:t xml:space="preserve"> </w:t>
      </w:r>
      <w:r w:rsidRPr="00B920DF">
        <w:rPr>
          <w:rFonts w:cstheme="minorHAnsi"/>
          <w:color w:val="231F20"/>
        </w:rPr>
        <w:t>actions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appear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2"/>
        </w:rPr>
        <w:t xml:space="preserve">to </w:t>
      </w:r>
      <w:r w:rsidRPr="00B920DF">
        <w:rPr>
          <w:rFonts w:cstheme="minorHAnsi"/>
          <w:color w:val="231F20"/>
          <w:spacing w:val="-1"/>
        </w:rPr>
        <w:t>members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of</w:t>
      </w:r>
      <w:r w:rsidRPr="00B920DF">
        <w:rPr>
          <w:rFonts w:cstheme="minorHAnsi"/>
          <w:color w:val="231F20"/>
        </w:rPr>
        <w:t xml:space="preserve"> the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community.</w:t>
      </w:r>
    </w:p>
    <w:p w14:paraId="00B31A38" w14:textId="77777777" w:rsidR="00B920DF" w:rsidRPr="00B920DF" w:rsidRDefault="00B920DF" w:rsidP="00B920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017609" w14:textId="77777777" w:rsidR="00B920DF" w:rsidRDefault="00B920DF" w:rsidP="00B920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89" w:hanging="1"/>
        <w:rPr>
          <w:rFonts w:cstheme="minorHAnsi"/>
          <w:color w:val="231F20"/>
          <w:spacing w:val="-1"/>
        </w:rPr>
      </w:pPr>
      <w:r w:rsidRPr="00B920DF">
        <w:rPr>
          <w:rFonts w:cstheme="minorHAnsi"/>
          <w:color w:val="231F20"/>
        </w:rPr>
        <w:t>Any</w:t>
      </w:r>
      <w:r w:rsidRPr="00B920DF">
        <w:rPr>
          <w:rFonts w:cstheme="minorHAnsi"/>
          <w:color w:val="231F20"/>
          <w:spacing w:val="-3"/>
        </w:rPr>
        <w:t xml:space="preserve"> </w:t>
      </w:r>
      <w:r w:rsidRPr="00B920DF">
        <w:rPr>
          <w:rFonts w:cstheme="minorHAnsi"/>
          <w:color w:val="231F20"/>
          <w:spacing w:val="-1"/>
        </w:rPr>
        <w:t>employee</w:t>
      </w:r>
      <w:r w:rsidRPr="00B920DF">
        <w:rPr>
          <w:rFonts w:cstheme="minorHAnsi"/>
          <w:color w:val="231F20"/>
        </w:rPr>
        <w:t xml:space="preserve"> or </w:t>
      </w:r>
      <w:r>
        <w:rPr>
          <w:rFonts w:cstheme="minorHAnsi"/>
          <w:color w:val="231F20"/>
          <w:spacing w:val="-2"/>
        </w:rPr>
        <w:t>volunteer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</w:rPr>
        <w:t xml:space="preserve">who </w:t>
      </w:r>
      <w:r w:rsidRPr="00B920DF">
        <w:rPr>
          <w:rFonts w:cstheme="minorHAnsi"/>
          <w:color w:val="231F20"/>
          <w:spacing w:val="-1"/>
        </w:rPr>
        <w:t>violates</w:t>
      </w:r>
      <w:r w:rsidRPr="00B920DF">
        <w:rPr>
          <w:rFonts w:cstheme="minorHAnsi"/>
          <w:color w:val="231F20"/>
        </w:rPr>
        <w:t xml:space="preserve"> any</w:t>
      </w:r>
      <w:r w:rsidRPr="00B920DF">
        <w:rPr>
          <w:rFonts w:cstheme="minorHAnsi"/>
          <w:color w:val="231F20"/>
          <w:spacing w:val="-3"/>
        </w:rPr>
        <w:t xml:space="preserve"> </w:t>
      </w:r>
      <w:r w:rsidRPr="00B920DF">
        <w:rPr>
          <w:rFonts w:cstheme="minorHAnsi"/>
          <w:color w:val="231F20"/>
        </w:rPr>
        <w:t xml:space="preserve">of </w:t>
      </w:r>
      <w:r w:rsidRPr="00B920DF">
        <w:rPr>
          <w:rFonts w:cstheme="minorHAnsi"/>
          <w:color w:val="231F20"/>
          <w:spacing w:val="-1"/>
        </w:rPr>
        <w:t>these</w:t>
      </w:r>
      <w:r w:rsidRPr="00B920DF">
        <w:rPr>
          <w:rFonts w:cstheme="minorHAnsi"/>
          <w:color w:val="231F20"/>
          <w:spacing w:val="-2"/>
        </w:rPr>
        <w:t xml:space="preserve"> </w:t>
      </w:r>
      <w:r w:rsidRPr="00B920DF">
        <w:rPr>
          <w:rFonts w:cstheme="minorHAnsi"/>
          <w:color w:val="231F20"/>
          <w:spacing w:val="-1"/>
        </w:rPr>
        <w:t>standards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of</w:t>
      </w:r>
      <w:r w:rsidRPr="00B920DF">
        <w:rPr>
          <w:rFonts w:cstheme="minorHAnsi"/>
          <w:color w:val="231F20"/>
          <w:spacing w:val="51"/>
        </w:rPr>
        <w:t xml:space="preserve"> </w:t>
      </w:r>
      <w:r w:rsidRPr="00B920DF">
        <w:rPr>
          <w:rFonts w:cstheme="minorHAnsi"/>
          <w:color w:val="231F20"/>
          <w:spacing w:val="-1"/>
        </w:rPr>
        <w:t>conduct</w:t>
      </w:r>
      <w:r w:rsidRPr="00B920DF">
        <w:rPr>
          <w:rFonts w:cstheme="minorHAnsi"/>
          <w:color w:val="231F20"/>
        </w:rPr>
        <w:t xml:space="preserve"> </w:t>
      </w:r>
      <w:r w:rsidRPr="00B920DF">
        <w:rPr>
          <w:rFonts w:cstheme="minorHAnsi"/>
          <w:color w:val="231F20"/>
          <w:spacing w:val="-1"/>
        </w:rPr>
        <w:t>shall:</w:t>
      </w:r>
    </w:p>
    <w:p w14:paraId="3D1A311B" w14:textId="77777777" w:rsidR="00B920DF" w:rsidRPr="00972F45" w:rsidRDefault="00972F45" w:rsidP="00B920DF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89"/>
        <w:rPr>
          <w:rFonts w:cstheme="minorHAnsi"/>
          <w:color w:val="000000"/>
        </w:rPr>
      </w:pPr>
      <w:r>
        <w:rPr>
          <w:rFonts w:cstheme="minorHAnsi"/>
          <w:color w:val="000000"/>
        </w:rPr>
        <w:fldChar w:fldCharType="begin">
          <w:ffData>
            <w:name w:val="Text10"/>
            <w:enabled/>
            <w:calcOnExit w:val="0"/>
            <w:textInput>
              <w:default w:val="&lt;Enter disciplinary actions to be applied for violations of the Code of Conduct&gt;"/>
            </w:textInput>
          </w:ffData>
        </w:fldChar>
      </w:r>
      <w:bookmarkStart w:id="7" w:name="Text10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&lt;Enter disciplinary actions to be applied for violations of the Code of Conduct&gt;</w:t>
      </w:r>
      <w:r>
        <w:rPr>
          <w:rFonts w:cstheme="minorHAnsi"/>
          <w:color w:val="000000"/>
        </w:rPr>
        <w:fldChar w:fldCharType="end"/>
      </w:r>
      <w:bookmarkEnd w:id="7"/>
    </w:p>
    <w:p w14:paraId="30DAA529" w14:textId="77777777" w:rsidR="004B61DE" w:rsidRPr="00CC6755" w:rsidRDefault="004B61DE" w:rsidP="004B61DE">
      <w:pPr>
        <w:contextualSpacing/>
      </w:pPr>
    </w:p>
    <w:p w14:paraId="4EFEF341" w14:textId="77777777" w:rsidR="008023EE" w:rsidRDefault="008023EE"/>
    <w:sectPr w:rsidR="0080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460A7E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732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58" w:hanging="360"/>
      </w:pPr>
    </w:lvl>
    <w:lvl w:ilvl="6">
      <w:numFmt w:val="bullet"/>
      <w:lvlText w:val="•"/>
      <w:lvlJc w:val="left"/>
      <w:pPr>
        <w:ind w:left="5889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552" w:hanging="360"/>
      </w:pPr>
    </w:lvl>
  </w:abstractNum>
  <w:abstractNum w:abstractNumId="1" w15:restartNumberingAfterBreak="0">
    <w:nsid w:val="07DE7311"/>
    <w:multiLevelType w:val="hybridMultilevel"/>
    <w:tmpl w:val="2892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4E4"/>
    <w:multiLevelType w:val="hybridMultilevel"/>
    <w:tmpl w:val="F55EC37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4A53059E"/>
    <w:multiLevelType w:val="hybridMultilevel"/>
    <w:tmpl w:val="3F4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4FC6"/>
    <w:multiLevelType w:val="hybridMultilevel"/>
    <w:tmpl w:val="7E64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79FA"/>
    <w:multiLevelType w:val="hybridMultilevel"/>
    <w:tmpl w:val="3B2ECA1C"/>
    <w:lvl w:ilvl="0" w:tplc="B164F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2553172">
    <w:abstractNumId w:val="5"/>
  </w:num>
  <w:num w:numId="2" w16cid:durableId="1457800088">
    <w:abstractNumId w:val="4"/>
  </w:num>
  <w:num w:numId="3" w16cid:durableId="1029112387">
    <w:abstractNumId w:val="1"/>
  </w:num>
  <w:num w:numId="4" w16cid:durableId="2009019697">
    <w:abstractNumId w:val="3"/>
  </w:num>
  <w:num w:numId="5" w16cid:durableId="2073845035">
    <w:abstractNumId w:val="0"/>
  </w:num>
  <w:num w:numId="6" w16cid:durableId="186216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E"/>
    <w:rsid w:val="000766C8"/>
    <w:rsid w:val="000774C6"/>
    <w:rsid w:val="00095B48"/>
    <w:rsid w:val="000B184B"/>
    <w:rsid w:val="000F0617"/>
    <w:rsid w:val="001139CF"/>
    <w:rsid w:val="003F6057"/>
    <w:rsid w:val="004973DE"/>
    <w:rsid w:val="004B61DE"/>
    <w:rsid w:val="005503A3"/>
    <w:rsid w:val="005C77FE"/>
    <w:rsid w:val="007A4A49"/>
    <w:rsid w:val="008023EE"/>
    <w:rsid w:val="0085580B"/>
    <w:rsid w:val="00883F92"/>
    <w:rsid w:val="00914A30"/>
    <w:rsid w:val="00972F45"/>
    <w:rsid w:val="00AE2674"/>
    <w:rsid w:val="00B920DF"/>
    <w:rsid w:val="00C011B6"/>
    <w:rsid w:val="00C834C9"/>
    <w:rsid w:val="00CC6755"/>
    <w:rsid w:val="00D402F6"/>
    <w:rsid w:val="00D870ED"/>
    <w:rsid w:val="00E26C0F"/>
    <w:rsid w:val="00EB0B36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0458"/>
  <w15:chartTrackingRefBased/>
  <w15:docId w15:val="{5F70DA7B-EEAA-4029-A97E-5E3EC027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EE"/>
    <w:pPr>
      <w:spacing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3E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5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7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87E9-3B1C-49F7-A1EA-EA7C3CE5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M. Schwartz</dc:creator>
  <cp:keywords/>
  <dc:description/>
  <cp:lastModifiedBy>Pam Rosebaugh</cp:lastModifiedBy>
  <cp:revision>2</cp:revision>
  <dcterms:created xsi:type="dcterms:W3CDTF">2024-05-14T18:54:00Z</dcterms:created>
  <dcterms:modified xsi:type="dcterms:W3CDTF">2024-05-14T18:54:00Z</dcterms:modified>
</cp:coreProperties>
</file>